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6D774F">
      <w:pPr>
        <w:spacing w:line="560" w:lineRule="exact"/>
        <w:rPr>
          <w:rFonts w:ascii="黑体" w:hAnsi="黑体" w:eastAsia="黑体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5</w:t>
      </w:r>
    </w:p>
    <w:p w14:paraId="04543F32">
      <w:pPr>
        <w:widowControl/>
        <w:spacing w:line="560" w:lineRule="exact"/>
        <w:jc w:val="center"/>
        <w:rPr>
          <w:rFonts w:ascii="方正小标宋_GBK" w:hAnsi="仿宋" w:eastAsia="方正小标宋_GBK" w:cs="仿宋"/>
          <w:sz w:val="44"/>
          <w:szCs w:val="44"/>
        </w:rPr>
      </w:pPr>
    </w:p>
    <w:p w14:paraId="5300D082">
      <w:pPr>
        <w:widowControl/>
        <w:spacing w:line="560" w:lineRule="exact"/>
        <w:jc w:val="center"/>
        <w:rPr>
          <w:rFonts w:ascii="方正小标宋_GBK" w:hAnsi="仿宋" w:eastAsia="方正小标宋_GBK" w:cs="仿宋"/>
          <w:sz w:val="44"/>
          <w:szCs w:val="44"/>
        </w:rPr>
      </w:pPr>
      <w:r>
        <w:rPr>
          <w:rFonts w:hint="eastAsia" w:ascii="方正小标宋_GBK" w:hAnsi="仿宋" w:eastAsia="方正小标宋_GBK" w:cs="仿宋"/>
          <w:sz w:val="44"/>
          <w:szCs w:val="44"/>
        </w:rPr>
        <w:t>服务响应承诺表</w:t>
      </w:r>
    </w:p>
    <w:bookmarkEnd w:id="0"/>
    <w:p w14:paraId="0E90777C">
      <w:pPr>
        <w:widowControl/>
        <w:spacing w:line="560" w:lineRule="exact"/>
        <w:jc w:val="center"/>
        <w:rPr>
          <w:rFonts w:ascii="方正小标宋_GBK" w:hAnsi="仿宋" w:eastAsia="方正小标宋_GBK" w:cs="仿宋"/>
          <w:sz w:val="44"/>
          <w:szCs w:val="44"/>
        </w:rPr>
      </w:pPr>
    </w:p>
    <w:tbl>
      <w:tblPr>
        <w:tblStyle w:val="3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3360"/>
        <w:gridCol w:w="708"/>
        <w:gridCol w:w="3799"/>
      </w:tblGrid>
      <w:tr w14:paraId="70054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tcMar>
              <w:top w:w="100" w:type="dxa"/>
              <w:right w:w="100" w:type="dxa"/>
            </w:tcMar>
            <w:vAlign w:val="center"/>
          </w:tcPr>
          <w:p w14:paraId="54B499DC">
            <w:pPr>
              <w:widowControl/>
              <w:autoSpaceDE w:val="0"/>
              <w:autoSpaceDN w:val="0"/>
              <w:adjustRightInd w:val="0"/>
              <w:spacing w:before="120"/>
              <w:jc w:val="center"/>
              <w:rPr>
                <w:rFonts w:ascii="黑体" w:hAnsi="黑体" w:eastAsia="黑体"/>
                <w:kern w:val="1"/>
                <w:sz w:val="22"/>
                <w:szCs w:val="21"/>
              </w:rPr>
            </w:pPr>
            <w:r>
              <w:rPr>
                <w:rFonts w:hint="eastAsia" w:ascii="黑体" w:hAnsi="黑体" w:eastAsia="黑体" w:cs="仿宋"/>
                <w:kern w:val="1"/>
                <w:sz w:val="22"/>
                <w:szCs w:val="21"/>
              </w:rPr>
              <w:t>项目</w:t>
            </w:r>
          </w:p>
        </w:tc>
        <w:tc>
          <w:tcPr>
            <w:tcW w:w="3360" w:type="dxa"/>
            <w:tcMar>
              <w:top w:w="100" w:type="dxa"/>
              <w:right w:w="100" w:type="dxa"/>
            </w:tcMar>
            <w:vAlign w:val="center"/>
          </w:tcPr>
          <w:p w14:paraId="06D3CFC9">
            <w:pPr>
              <w:widowControl/>
              <w:autoSpaceDE w:val="0"/>
              <w:autoSpaceDN w:val="0"/>
              <w:adjustRightInd w:val="0"/>
              <w:spacing w:before="120"/>
              <w:jc w:val="center"/>
              <w:rPr>
                <w:rFonts w:ascii="黑体" w:hAnsi="黑体" w:eastAsia="黑体"/>
                <w:kern w:val="1"/>
                <w:sz w:val="22"/>
                <w:szCs w:val="21"/>
              </w:rPr>
            </w:pPr>
            <w:r>
              <w:rPr>
                <w:rFonts w:hint="eastAsia" w:ascii="黑体" w:hAnsi="黑体" w:eastAsia="黑体" w:cs="仿宋"/>
                <w:kern w:val="1"/>
                <w:sz w:val="22"/>
                <w:szCs w:val="21"/>
              </w:rPr>
              <w:t>询价函要求</w:t>
            </w:r>
          </w:p>
        </w:tc>
        <w:tc>
          <w:tcPr>
            <w:tcW w:w="708" w:type="dxa"/>
            <w:tcMar>
              <w:top w:w="100" w:type="dxa"/>
              <w:right w:w="100" w:type="dxa"/>
            </w:tcMar>
            <w:vAlign w:val="center"/>
          </w:tcPr>
          <w:p w14:paraId="19F3D3C4">
            <w:pPr>
              <w:widowControl/>
              <w:autoSpaceDE w:val="0"/>
              <w:autoSpaceDN w:val="0"/>
              <w:adjustRightInd w:val="0"/>
              <w:spacing w:before="120"/>
              <w:jc w:val="center"/>
              <w:rPr>
                <w:rFonts w:ascii="黑体" w:hAnsi="黑体" w:eastAsia="黑体"/>
                <w:kern w:val="1"/>
                <w:sz w:val="22"/>
                <w:szCs w:val="21"/>
              </w:rPr>
            </w:pPr>
            <w:r>
              <w:rPr>
                <w:rFonts w:hint="eastAsia" w:ascii="黑体" w:hAnsi="黑体" w:eastAsia="黑体" w:cs="仿宋"/>
                <w:kern w:val="1"/>
                <w:sz w:val="22"/>
                <w:szCs w:val="21"/>
              </w:rPr>
              <w:t>是否</w:t>
            </w:r>
          </w:p>
          <w:p w14:paraId="5DD4A041">
            <w:pPr>
              <w:widowControl/>
              <w:autoSpaceDE w:val="0"/>
              <w:autoSpaceDN w:val="0"/>
              <w:adjustRightInd w:val="0"/>
              <w:spacing w:before="120"/>
              <w:jc w:val="center"/>
              <w:rPr>
                <w:rFonts w:ascii="黑体" w:hAnsi="黑体" w:eastAsia="黑体"/>
                <w:kern w:val="1"/>
                <w:sz w:val="22"/>
                <w:szCs w:val="21"/>
              </w:rPr>
            </w:pPr>
            <w:r>
              <w:rPr>
                <w:rFonts w:hint="eastAsia" w:ascii="黑体" w:hAnsi="黑体" w:eastAsia="黑体" w:cs="仿宋"/>
                <w:kern w:val="1"/>
                <w:sz w:val="22"/>
                <w:szCs w:val="21"/>
              </w:rPr>
              <w:t>响应</w:t>
            </w:r>
          </w:p>
        </w:tc>
        <w:tc>
          <w:tcPr>
            <w:tcW w:w="3799" w:type="dxa"/>
            <w:tcMar>
              <w:top w:w="100" w:type="dxa"/>
              <w:right w:w="100" w:type="dxa"/>
            </w:tcMar>
            <w:vAlign w:val="center"/>
          </w:tcPr>
          <w:p w14:paraId="5B87C80F">
            <w:pPr>
              <w:widowControl/>
              <w:autoSpaceDE w:val="0"/>
              <w:autoSpaceDN w:val="0"/>
              <w:adjustRightInd w:val="0"/>
              <w:spacing w:before="120"/>
              <w:jc w:val="center"/>
              <w:rPr>
                <w:rFonts w:ascii="黑体" w:hAnsi="黑体" w:eastAsia="黑体"/>
                <w:kern w:val="1"/>
                <w:sz w:val="22"/>
                <w:szCs w:val="21"/>
              </w:rPr>
            </w:pPr>
            <w:r>
              <w:rPr>
                <w:rFonts w:hint="eastAsia" w:ascii="黑体" w:hAnsi="黑体" w:eastAsia="黑体" w:cs="仿宋"/>
                <w:kern w:val="1"/>
                <w:sz w:val="22"/>
                <w:szCs w:val="21"/>
              </w:rPr>
              <w:t>供应商的承诺或者说明</w:t>
            </w:r>
          </w:p>
        </w:tc>
      </w:tr>
      <w:tr w14:paraId="346A1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1030" w:type="dxa"/>
            <w:tcMar>
              <w:top w:w="100" w:type="dxa"/>
              <w:right w:w="100" w:type="dxa"/>
            </w:tcMar>
            <w:vAlign w:val="center"/>
          </w:tcPr>
          <w:p w14:paraId="2CD6B0B6">
            <w:pPr>
              <w:widowControl/>
              <w:autoSpaceDE w:val="0"/>
              <w:autoSpaceDN w:val="0"/>
              <w:adjustRightInd w:val="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1"/>
                <w:sz w:val="22"/>
                <w:szCs w:val="21"/>
              </w:rPr>
              <w:t>售后服务保障要求</w:t>
            </w:r>
          </w:p>
        </w:tc>
        <w:tc>
          <w:tcPr>
            <w:tcW w:w="3360" w:type="dxa"/>
            <w:tcMar>
              <w:top w:w="100" w:type="dxa"/>
              <w:right w:w="100" w:type="dxa"/>
            </w:tcMar>
          </w:tcPr>
          <w:p w14:paraId="7DDAAAC0">
            <w:pPr>
              <w:widowControl/>
              <w:autoSpaceDE w:val="0"/>
              <w:autoSpaceDN w:val="0"/>
              <w:adjustRightInd w:val="0"/>
              <w:spacing w:before="120"/>
              <w:rPr>
                <w:rFonts w:hint="eastAsia" w:ascii="仿宋_GB2312" w:hAnsi="仿宋" w:eastAsia="仿宋_GB2312"/>
                <w:kern w:val="1"/>
                <w:sz w:val="22"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/>
                <w:kern w:val="1"/>
                <w:sz w:val="22"/>
                <w:szCs w:val="21"/>
              </w:rPr>
              <w:t>成交供应商应提供及时周到的售后服务，应保证每季度至少一次上门回访</w:t>
            </w:r>
            <w:r>
              <w:rPr>
                <w:rFonts w:hint="eastAsia" w:ascii="仿宋_GB2312" w:hAnsi="仿宋" w:eastAsia="仿宋_GB2312"/>
                <w:kern w:val="1"/>
                <w:sz w:val="22"/>
                <w:szCs w:val="21"/>
                <w:lang w:eastAsia="zh-CN"/>
              </w:rPr>
              <w:t>。</w:t>
            </w:r>
          </w:p>
        </w:tc>
        <w:tc>
          <w:tcPr>
            <w:tcW w:w="708" w:type="dxa"/>
            <w:tcMar>
              <w:top w:w="100" w:type="dxa"/>
              <w:right w:w="100" w:type="dxa"/>
            </w:tcMar>
          </w:tcPr>
          <w:p w14:paraId="369BC4E4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  <w:tc>
          <w:tcPr>
            <w:tcW w:w="3799" w:type="dxa"/>
            <w:tcMar>
              <w:top w:w="100" w:type="dxa"/>
              <w:right w:w="100" w:type="dxa"/>
            </w:tcMar>
          </w:tcPr>
          <w:p w14:paraId="4E87CC82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</w:tr>
      <w:tr w14:paraId="7F811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tcMar>
              <w:top w:w="100" w:type="dxa"/>
              <w:right w:w="100" w:type="dxa"/>
            </w:tcMar>
            <w:vAlign w:val="center"/>
          </w:tcPr>
          <w:p w14:paraId="64D6DC29">
            <w:pPr>
              <w:widowControl/>
              <w:autoSpaceDE w:val="0"/>
              <w:autoSpaceDN w:val="0"/>
              <w:adjustRightInd w:val="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1"/>
                <w:sz w:val="22"/>
                <w:szCs w:val="21"/>
              </w:rPr>
              <w:t>备品备件以及耗材等要求</w:t>
            </w:r>
          </w:p>
        </w:tc>
        <w:tc>
          <w:tcPr>
            <w:tcW w:w="3360" w:type="dxa"/>
            <w:tcMar>
              <w:top w:w="100" w:type="dxa"/>
              <w:right w:w="100" w:type="dxa"/>
            </w:tcMar>
          </w:tcPr>
          <w:p w14:paraId="7ACD60DD">
            <w:pPr>
              <w:widowControl/>
              <w:autoSpaceDE w:val="0"/>
              <w:autoSpaceDN w:val="0"/>
              <w:adjustRightInd w:val="0"/>
              <w:spacing w:before="120"/>
              <w:ind w:left="43"/>
              <w:rPr>
                <w:rFonts w:hint="eastAsia" w:ascii="仿宋_GB2312" w:hAnsi="仿宋" w:eastAsia="仿宋_GB2312"/>
                <w:sz w:val="22"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/>
                <w:sz w:val="22"/>
                <w:szCs w:val="21"/>
              </w:rPr>
              <w:t>质量保证期内，如果证实货物是有缺陷的，包括潜在的缺陷或者使用不符合要求的材料等，成交供应商应立即免费更换有缺陷的货物或者部件，保证达到合同规定的技术以及性能要求。如果成交供应商在收到通知后3天内没有弥补缺陷，采购人可自行采取必要的补救措施，但风险和费用由成交供应商承担，采购人同时保留通过法律途径进行索赔的权利</w:t>
            </w:r>
            <w:r>
              <w:rPr>
                <w:rFonts w:hint="eastAsia" w:ascii="仿宋_GB2312" w:hAnsi="仿宋" w:eastAsia="仿宋_GB2312"/>
                <w:sz w:val="22"/>
                <w:szCs w:val="21"/>
                <w:lang w:eastAsia="zh-CN"/>
              </w:rPr>
              <w:t>。</w:t>
            </w:r>
          </w:p>
          <w:p w14:paraId="69D5EF72">
            <w:pPr>
              <w:widowControl/>
              <w:autoSpaceDE w:val="0"/>
              <w:autoSpaceDN w:val="0"/>
              <w:adjustRightInd w:val="0"/>
              <w:spacing w:before="120"/>
              <w:ind w:left="43"/>
              <w:rPr>
                <w:rFonts w:ascii="仿宋_GB2312" w:hAnsi="仿宋" w:eastAsia="仿宋_GB2312"/>
                <w:sz w:val="22"/>
                <w:szCs w:val="21"/>
              </w:rPr>
            </w:pPr>
            <w:r>
              <w:rPr>
                <w:rFonts w:hint="eastAsia" w:ascii="仿宋_GB2312" w:hAnsi="仿宋" w:eastAsia="仿宋_GB2312"/>
                <w:sz w:val="22"/>
                <w:szCs w:val="21"/>
              </w:rPr>
              <w:t>供应商须保证货物是全新、未使用过的，并完全符合强制性的国家技术质量规范和合同规定的质量、规格、性能和技术规范等的要求。</w:t>
            </w:r>
          </w:p>
          <w:p w14:paraId="3FE06917">
            <w:pPr>
              <w:widowControl/>
              <w:autoSpaceDE w:val="0"/>
              <w:autoSpaceDN w:val="0"/>
              <w:adjustRightInd w:val="0"/>
              <w:spacing w:before="120"/>
              <w:ind w:left="43"/>
              <w:rPr>
                <w:rFonts w:ascii="仿宋_GB2312" w:hAnsi="仿宋" w:eastAsia="仿宋_GB2312"/>
                <w:sz w:val="22"/>
                <w:szCs w:val="21"/>
              </w:rPr>
            </w:pPr>
            <w:r>
              <w:rPr>
                <w:rFonts w:hint="eastAsia" w:ascii="仿宋_GB2312" w:hAnsi="仿宋" w:eastAsia="仿宋_GB2312"/>
                <w:sz w:val="22"/>
                <w:szCs w:val="21"/>
              </w:rPr>
              <w:t>★供应商须承诺，若提供的货物在质保期内，直接或间接导致招标人其他资产损坏的，供应商须在24小时内对损坏资产进行赔付或维修，保证达到损坏前使用状态。如果成交供应商在收到通知后3天内没有弥补缺陷，采购人可自行采取必要的补救措施，但风险和费用由成交供应商承担，</w:t>
            </w:r>
            <w:r>
              <w:rPr>
                <w:rFonts w:hint="eastAsia" w:ascii="仿宋_GB2312" w:hAnsi="仿宋" w:eastAsia="仿宋_GB2312"/>
                <w:sz w:val="22"/>
                <w:szCs w:val="21"/>
                <w:lang w:val="en-US" w:eastAsia="zh-CN"/>
              </w:rPr>
              <w:t>采购人</w:t>
            </w:r>
            <w:r>
              <w:rPr>
                <w:rFonts w:hint="eastAsia" w:ascii="仿宋_GB2312" w:hAnsi="仿宋" w:eastAsia="仿宋_GB2312"/>
                <w:sz w:val="22"/>
                <w:szCs w:val="21"/>
              </w:rPr>
              <w:t>同时保留通过法律途径进行索赔的权利。提供相关内容承诺书。</w:t>
            </w:r>
          </w:p>
        </w:tc>
        <w:tc>
          <w:tcPr>
            <w:tcW w:w="708" w:type="dxa"/>
            <w:tcMar>
              <w:top w:w="100" w:type="dxa"/>
              <w:right w:w="100" w:type="dxa"/>
            </w:tcMar>
          </w:tcPr>
          <w:p w14:paraId="4BB5F7DF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  <w:tc>
          <w:tcPr>
            <w:tcW w:w="3799" w:type="dxa"/>
            <w:tcMar>
              <w:top w:w="100" w:type="dxa"/>
              <w:right w:w="100" w:type="dxa"/>
            </w:tcMar>
          </w:tcPr>
          <w:p w14:paraId="7D594E81">
            <w:pPr>
              <w:widowControl/>
              <w:autoSpaceDE w:val="0"/>
              <w:autoSpaceDN w:val="0"/>
              <w:adjustRightInd w:val="0"/>
              <w:spacing w:before="120"/>
              <w:ind w:left="43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</w:tr>
      <w:tr w14:paraId="3DB5C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7" w:hRule="atLeast"/>
        </w:trPr>
        <w:tc>
          <w:tcPr>
            <w:tcW w:w="1030" w:type="dxa"/>
            <w:tcMar>
              <w:top w:w="100" w:type="dxa"/>
              <w:right w:w="100" w:type="dxa"/>
            </w:tcMar>
            <w:vAlign w:val="center"/>
          </w:tcPr>
          <w:p w14:paraId="51D75ED7">
            <w:pPr>
              <w:widowControl/>
              <w:autoSpaceDE w:val="0"/>
              <w:autoSpaceDN w:val="0"/>
              <w:adjustRightInd w:val="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1"/>
                <w:sz w:val="22"/>
                <w:szCs w:val="21"/>
              </w:rPr>
              <w:t>质保期</w:t>
            </w:r>
          </w:p>
        </w:tc>
        <w:tc>
          <w:tcPr>
            <w:tcW w:w="3360" w:type="dxa"/>
            <w:tcMar>
              <w:top w:w="100" w:type="dxa"/>
              <w:right w:w="100" w:type="dxa"/>
            </w:tcMar>
          </w:tcPr>
          <w:p w14:paraId="68529A9B">
            <w:pPr>
              <w:widowControl/>
              <w:autoSpaceDE w:val="0"/>
              <w:autoSpaceDN w:val="0"/>
              <w:adjustRightInd w:val="0"/>
              <w:spacing w:before="120"/>
              <w:rPr>
                <w:rFonts w:hint="eastAsia" w:ascii="仿宋_GB2312" w:hAnsi="仿宋" w:eastAsia="仿宋_GB2312"/>
                <w:kern w:val="1"/>
                <w:sz w:val="22"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/>
                <w:sz w:val="22"/>
                <w:szCs w:val="21"/>
              </w:rPr>
              <w:t>1年（自验收合格之日起1年）,国家主管部门或者行业标准对货物本身有更高要求的，从其规定并在合同中约定，采购人亦可提报更长的质保期</w:t>
            </w:r>
            <w:r>
              <w:rPr>
                <w:rFonts w:hint="eastAsia" w:ascii="仿宋_GB2312" w:hAnsi="仿宋" w:eastAsia="仿宋_GB2312"/>
                <w:sz w:val="22"/>
                <w:szCs w:val="21"/>
                <w:lang w:eastAsia="zh-CN"/>
              </w:rPr>
              <w:t>。</w:t>
            </w:r>
          </w:p>
        </w:tc>
        <w:tc>
          <w:tcPr>
            <w:tcW w:w="708" w:type="dxa"/>
            <w:tcMar>
              <w:top w:w="100" w:type="dxa"/>
              <w:right w:w="100" w:type="dxa"/>
            </w:tcMar>
          </w:tcPr>
          <w:p w14:paraId="623554B4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  <w:tc>
          <w:tcPr>
            <w:tcW w:w="3799" w:type="dxa"/>
            <w:tcMar>
              <w:top w:w="100" w:type="dxa"/>
              <w:right w:w="100" w:type="dxa"/>
            </w:tcMar>
          </w:tcPr>
          <w:p w14:paraId="2D32BC8A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</w:tr>
      <w:tr w14:paraId="64FE6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1" w:hRule="atLeast"/>
        </w:trPr>
        <w:tc>
          <w:tcPr>
            <w:tcW w:w="1030" w:type="dxa"/>
            <w:tcMar>
              <w:top w:w="100" w:type="dxa"/>
              <w:right w:w="100" w:type="dxa"/>
            </w:tcMar>
            <w:vAlign w:val="center"/>
          </w:tcPr>
          <w:p w14:paraId="4A59103A">
            <w:pPr>
              <w:widowControl/>
              <w:autoSpaceDE w:val="0"/>
              <w:autoSpaceDN w:val="0"/>
              <w:adjustRightInd w:val="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1"/>
                <w:sz w:val="22"/>
                <w:szCs w:val="21"/>
              </w:rPr>
              <w:t>交货时间以及地点</w:t>
            </w:r>
          </w:p>
        </w:tc>
        <w:tc>
          <w:tcPr>
            <w:tcW w:w="3360" w:type="dxa"/>
            <w:tcMar>
              <w:top w:w="100" w:type="dxa"/>
              <w:right w:w="100" w:type="dxa"/>
            </w:tcMar>
          </w:tcPr>
          <w:p w14:paraId="62419487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sz w:val="22"/>
                <w:szCs w:val="21"/>
              </w:rPr>
            </w:pPr>
            <w:r>
              <w:rPr>
                <w:rFonts w:hint="eastAsia" w:ascii="仿宋_GB2312" w:hAnsi="仿宋" w:eastAsia="仿宋_GB2312"/>
                <w:sz w:val="22"/>
                <w:szCs w:val="21"/>
              </w:rPr>
              <w:t>交货时间：本项目服务期限自合同签署日起，至合同签署后1个自然年终止。合同履行期间，成交供应商按采购人要求供货，不定时、不定量，接到采购人的通知后，工作</w:t>
            </w:r>
            <w:r>
              <w:rPr>
                <w:rFonts w:hint="eastAsia" w:ascii="仿宋_GB2312" w:hAnsi="仿宋" w:eastAsia="仿宋_GB2312"/>
                <w:sz w:val="22"/>
                <w:szCs w:val="21"/>
                <w:lang w:val="en-US" w:eastAsia="zh-CN"/>
              </w:rPr>
              <w:t>时间</w:t>
            </w:r>
            <w:r>
              <w:rPr>
                <w:rFonts w:hint="eastAsia" w:ascii="仿宋_GB2312" w:hAnsi="仿宋" w:eastAsia="仿宋_GB2312"/>
                <w:sz w:val="22"/>
                <w:szCs w:val="21"/>
              </w:rPr>
              <w:t>4小时之内送达，双休日24小时之内。如供应商出现3次以上缺货或供货不及时，采购人有权终止合同。</w:t>
            </w:r>
          </w:p>
          <w:p w14:paraId="6EEF3553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sz w:val="22"/>
                <w:szCs w:val="21"/>
              </w:rPr>
            </w:pPr>
            <w:r>
              <w:rPr>
                <w:rFonts w:hint="eastAsia" w:ascii="仿宋_GB2312" w:hAnsi="仿宋" w:eastAsia="仿宋_GB2312"/>
                <w:sz w:val="22"/>
                <w:szCs w:val="21"/>
              </w:rPr>
              <w:t>交货地点以采购人指定地点为准。</w:t>
            </w:r>
          </w:p>
        </w:tc>
        <w:tc>
          <w:tcPr>
            <w:tcW w:w="708" w:type="dxa"/>
            <w:tcMar>
              <w:top w:w="100" w:type="dxa"/>
              <w:right w:w="100" w:type="dxa"/>
            </w:tcMar>
          </w:tcPr>
          <w:p w14:paraId="7A0ACCC8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  <w:tc>
          <w:tcPr>
            <w:tcW w:w="3799" w:type="dxa"/>
            <w:tcMar>
              <w:top w:w="100" w:type="dxa"/>
              <w:right w:w="100" w:type="dxa"/>
            </w:tcMar>
          </w:tcPr>
          <w:p w14:paraId="120F962D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sz w:val="22"/>
                <w:szCs w:val="21"/>
              </w:rPr>
            </w:pPr>
          </w:p>
        </w:tc>
      </w:tr>
      <w:tr w14:paraId="54CBA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1030" w:type="dxa"/>
            <w:tcMar>
              <w:top w:w="100" w:type="dxa"/>
              <w:right w:w="100" w:type="dxa"/>
            </w:tcMar>
            <w:vAlign w:val="center"/>
          </w:tcPr>
          <w:p w14:paraId="4450C3FE">
            <w:pPr>
              <w:widowControl/>
              <w:autoSpaceDE w:val="0"/>
              <w:autoSpaceDN w:val="0"/>
              <w:adjustRightInd w:val="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1"/>
                <w:sz w:val="22"/>
                <w:szCs w:val="21"/>
              </w:rPr>
              <w:t>付款条件</w:t>
            </w:r>
          </w:p>
        </w:tc>
        <w:tc>
          <w:tcPr>
            <w:tcW w:w="3360" w:type="dxa"/>
            <w:tcMar>
              <w:top w:w="100" w:type="dxa"/>
              <w:right w:w="100" w:type="dxa"/>
            </w:tcMar>
          </w:tcPr>
          <w:p w14:paraId="3263F666">
            <w:pPr>
              <w:widowControl/>
              <w:autoSpaceDE w:val="0"/>
              <w:autoSpaceDN w:val="0"/>
              <w:adjustRightInd w:val="0"/>
              <w:spacing w:before="120"/>
              <w:rPr>
                <w:rFonts w:hint="eastAsia" w:ascii="仿宋_GB2312" w:hAnsi="仿宋" w:eastAsia="仿宋_GB2312"/>
                <w:kern w:val="1"/>
                <w:sz w:val="22"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/>
                <w:sz w:val="22"/>
                <w:szCs w:val="21"/>
              </w:rPr>
              <w:t>根据成交供应商实际供货数量, 每季度据实结算一次货款</w:t>
            </w:r>
            <w:r>
              <w:rPr>
                <w:rFonts w:hint="eastAsia" w:ascii="仿宋_GB2312" w:hAnsi="仿宋" w:eastAsia="仿宋_GB2312"/>
                <w:sz w:val="22"/>
                <w:szCs w:val="21"/>
                <w:lang w:eastAsia="zh-CN"/>
              </w:rPr>
              <w:t>。</w:t>
            </w:r>
          </w:p>
        </w:tc>
        <w:tc>
          <w:tcPr>
            <w:tcW w:w="708" w:type="dxa"/>
            <w:tcMar>
              <w:top w:w="100" w:type="dxa"/>
              <w:right w:w="100" w:type="dxa"/>
            </w:tcMar>
          </w:tcPr>
          <w:p w14:paraId="17FED27D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  <w:tc>
          <w:tcPr>
            <w:tcW w:w="3799" w:type="dxa"/>
            <w:tcMar>
              <w:top w:w="100" w:type="dxa"/>
              <w:right w:w="100" w:type="dxa"/>
            </w:tcMar>
          </w:tcPr>
          <w:p w14:paraId="0CD29361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</w:tr>
      <w:tr w14:paraId="7CF39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tcMar>
              <w:top w:w="100" w:type="dxa"/>
              <w:right w:w="100" w:type="dxa"/>
            </w:tcMar>
            <w:vAlign w:val="center"/>
          </w:tcPr>
          <w:p w14:paraId="50962856">
            <w:pPr>
              <w:widowControl/>
              <w:autoSpaceDE w:val="0"/>
              <w:autoSpaceDN w:val="0"/>
              <w:adjustRightInd w:val="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1"/>
                <w:sz w:val="22"/>
                <w:szCs w:val="21"/>
              </w:rPr>
              <w:t>验收</w:t>
            </w:r>
          </w:p>
        </w:tc>
        <w:tc>
          <w:tcPr>
            <w:tcW w:w="3360" w:type="dxa"/>
            <w:tcMar>
              <w:top w:w="100" w:type="dxa"/>
              <w:right w:w="100" w:type="dxa"/>
            </w:tcMar>
          </w:tcPr>
          <w:p w14:paraId="4F7E8287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2"/>
                <w:szCs w:val="21"/>
              </w:rPr>
              <w:t>货物运抵现场后，</w:t>
            </w:r>
            <w:r>
              <w:rPr>
                <w:rFonts w:hint="eastAsia" w:ascii="仿宋_GB2312" w:hAnsi="仿宋" w:eastAsia="仿宋_GB2312"/>
                <w:sz w:val="22"/>
                <w:szCs w:val="21"/>
              </w:rPr>
              <w:t>采购人</w:t>
            </w:r>
            <w:r>
              <w:rPr>
                <w:rFonts w:hint="eastAsia" w:ascii="仿宋_GB2312" w:hAnsi="仿宋" w:eastAsia="仿宋_GB2312" w:cs="宋体"/>
                <w:kern w:val="0"/>
                <w:sz w:val="22"/>
                <w:szCs w:val="21"/>
              </w:rPr>
              <w:t>将对货物数量、质量、规格等进行检验。如发现货物和规格或者两者都与合同不符，</w:t>
            </w:r>
            <w:r>
              <w:rPr>
                <w:rFonts w:hint="eastAsia" w:ascii="仿宋_GB2312" w:hAnsi="仿宋" w:eastAsia="仿宋_GB2312"/>
                <w:sz w:val="22"/>
                <w:szCs w:val="21"/>
              </w:rPr>
              <w:t>采购人</w:t>
            </w:r>
            <w:r>
              <w:rPr>
                <w:rFonts w:hint="eastAsia" w:ascii="仿宋_GB2312" w:hAnsi="仿宋" w:eastAsia="仿宋_GB2312" w:cs="宋体"/>
                <w:kern w:val="0"/>
                <w:sz w:val="22"/>
                <w:szCs w:val="21"/>
              </w:rPr>
              <w:t>有</w:t>
            </w:r>
            <w:r>
              <w:rPr>
                <w:rFonts w:hint="eastAsia" w:ascii="仿宋_GB2312" w:hAnsi="仿宋" w:eastAsia="仿宋_GB2312" w:cs="宋体"/>
                <w:kern w:val="0"/>
                <w:sz w:val="22"/>
                <w:szCs w:val="21"/>
                <w:lang w:eastAsia="zh-CN"/>
              </w:rPr>
              <w:t>权</w:t>
            </w:r>
            <w:r>
              <w:rPr>
                <w:rFonts w:hint="eastAsia" w:ascii="仿宋_GB2312" w:hAnsi="仿宋" w:eastAsia="仿宋_GB2312" w:cs="宋体"/>
                <w:kern w:val="0"/>
                <w:sz w:val="22"/>
                <w:szCs w:val="21"/>
              </w:rPr>
              <w:t>根据检验结果要求成交人立即更换或者提出退货并索赔要求。</w:t>
            </w:r>
          </w:p>
        </w:tc>
        <w:tc>
          <w:tcPr>
            <w:tcW w:w="708" w:type="dxa"/>
            <w:tcMar>
              <w:top w:w="100" w:type="dxa"/>
              <w:right w:w="100" w:type="dxa"/>
            </w:tcMar>
          </w:tcPr>
          <w:p w14:paraId="2E535083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  <w:tc>
          <w:tcPr>
            <w:tcW w:w="3799" w:type="dxa"/>
            <w:tcMar>
              <w:top w:w="100" w:type="dxa"/>
              <w:right w:w="100" w:type="dxa"/>
            </w:tcMar>
          </w:tcPr>
          <w:p w14:paraId="1AAD156B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</w:tr>
      <w:tr w14:paraId="4D87D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tcMar>
              <w:top w:w="100" w:type="dxa"/>
              <w:right w:w="100" w:type="dxa"/>
            </w:tcMar>
            <w:vAlign w:val="center"/>
          </w:tcPr>
          <w:p w14:paraId="6D2E3EB3">
            <w:pPr>
              <w:widowControl/>
              <w:autoSpaceDE w:val="0"/>
              <w:autoSpaceDN w:val="0"/>
              <w:adjustRightInd w:val="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1"/>
                <w:sz w:val="22"/>
                <w:szCs w:val="21"/>
              </w:rPr>
              <w:t>质量管理、企业信用要求</w:t>
            </w:r>
          </w:p>
        </w:tc>
        <w:tc>
          <w:tcPr>
            <w:tcW w:w="3360" w:type="dxa"/>
            <w:tcMar>
              <w:top w:w="100" w:type="dxa"/>
              <w:right w:w="100" w:type="dxa"/>
            </w:tcMar>
          </w:tcPr>
          <w:p w14:paraId="7ECE850D">
            <w:pPr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  <w:r>
              <w:rPr>
                <w:rFonts w:hint="eastAsia" w:ascii="仿宋_GB2312" w:hAnsi="仿宋" w:eastAsia="仿宋_GB2312"/>
                <w:kern w:val="1"/>
                <w:sz w:val="22"/>
                <w:szCs w:val="21"/>
              </w:rPr>
              <w:t>具有独立承担民事责任能力的法人。</w:t>
            </w:r>
          </w:p>
          <w:p w14:paraId="268FDE76">
            <w:pPr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  <w:r>
              <w:rPr>
                <w:rFonts w:hint="eastAsia" w:ascii="仿宋_GB2312" w:hAnsi="仿宋" w:eastAsia="仿宋_GB2312"/>
                <w:kern w:val="1"/>
                <w:sz w:val="22"/>
                <w:szCs w:val="21"/>
              </w:rPr>
              <w:t>采购公告发布之日前三年内无行贿犯罪等重大违法记录。</w:t>
            </w:r>
          </w:p>
          <w:p w14:paraId="1CDEE572">
            <w:pPr>
              <w:widowControl/>
              <w:autoSpaceDE w:val="0"/>
              <w:autoSpaceDN w:val="0"/>
              <w:adjustRightInd w:val="0"/>
              <w:spacing w:before="120"/>
              <w:rPr>
                <w:rFonts w:hint="eastAsia" w:ascii="仿宋_GB2312" w:hAnsi="仿宋" w:eastAsia="仿宋_GB2312"/>
                <w:kern w:val="1"/>
                <w:sz w:val="22"/>
                <w:szCs w:val="21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kern w:val="1"/>
                <w:sz w:val="22"/>
                <w:szCs w:val="21"/>
              </w:rPr>
              <w:t>通过“信用中国”网站（www.creditchina.gov.cn）、中国政府采购网（www.ccgp.gov.cn）、信用山东(https://credit.shandong.gov.cn/</w:t>
            </w:r>
            <w:r>
              <w:fldChar w:fldCharType="begin"/>
            </w:r>
            <w:r>
              <w:instrText xml:space="preserve"> HYPERLINK "http://www.creditsd.gov.cn)" </w:instrText>
            </w:r>
            <w:r>
              <w:fldChar w:fldCharType="separate"/>
            </w:r>
            <w:r>
              <w:rPr>
                <w:rFonts w:hint="eastAsia" w:ascii="仿宋_GB2312" w:hAnsi="仿宋" w:eastAsia="仿宋_GB2312"/>
                <w:kern w:val="1"/>
                <w:sz w:val="22"/>
                <w:szCs w:val="21"/>
              </w:rPr>
              <w:t>)</w:t>
            </w:r>
            <w:r>
              <w:rPr>
                <w:rFonts w:hint="eastAsia" w:ascii="仿宋_GB2312" w:hAnsi="仿宋" w:eastAsia="仿宋_GB2312"/>
                <w:kern w:val="1"/>
                <w:sz w:val="22"/>
                <w:szCs w:val="21"/>
              </w:rPr>
              <w:fldChar w:fldCharType="end"/>
            </w:r>
            <w:r>
              <w:rPr>
                <w:rFonts w:hint="eastAsia" w:ascii="仿宋_GB2312" w:hAnsi="仿宋" w:eastAsia="仿宋_GB2312"/>
                <w:kern w:val="1"/>
                <w:sz w:val="22"/>
                <w:szCs w:val="21"/>
              </w:rPr>
              <w:t>及信用青岛（http://www.qingdao.gov.cn/credit/）查询，未被列入失信被执行人、重大税收违法案件当事人、政府采购严重违法失信行为记录等名单的</w:t>
            </w:r>
            <w:r>
              <w:rPr>
                <w:rFonts w:hint="eastAsia" w:ascii="仿宋_GB2312" w:hAnsi="仿宋" w:eastAsia="仿宋_GB2312"/>
                <w:kern w:val="1"/>
                <w:sz w:val="22"/>
                <w:szCs w:val="21"/>
                <w:lang w:eastAsia="zh-CN"/>
              </w:rPr>
              <w:t>。</w:t>
            </w:r>
          </w:p>
        </w:tc>
        <w:tc>
          <w:tcPr>
            <w:tcW w:w="708" w:type="dxa"/>
            <w:tcMar>
              <w:top w:w="100" w:type="dxa"/>
              <w:right w:w="100" w:type="dxa"/>
            </w:tcMar>
          </w:tcPr>
          <w:p w14:paraId="289E7F30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  <w:tc>
          <w:tcPr>
            <w:tcW w:w="3799" w:type="dxa"/>
            <w:tcMar>
              <w:top w:w="100" w:type="dxa"/>
              <w:right w:w="100" w:type="dxa"/>
            </w:tcMar>
          </w:tcPr>
          <w:p w14:paraId="66254D01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</w:tr>
    </w:tbl>
    <w:p w14:paraId="7A217729">
      <w:pPr>
        <w:spacing w:line="560" w:lineRule="exact"/>
        <w:ind w:firstLine="480" w:firstLineChars="200"/>
        <w:rPr>
          <w:rFonts w:ascii="仿宋_GB2312" w:hAnsi="仿宋" w:eastAsia="仿宋_GB2312" w:cs="仿宋"/>
          <w:sz w:val="24"/>
        </w:rPr>
      </w:pPr>
    </w:p>
    <w:p w14:paraId="6922DF9D">
      <w:pPr>
        <w:wordWrap w:val="0"/>
        <w:spacing w:line="560" w:lineRule="exact"/>
        <w:ind w:firstLine="4560" w:firstLineChars="1900"/>
        <w:jc w:val="right"/>
        <w:rPr>
          <w:rFonts w:ascii="仿宋_GB2312" w:hAnsi="仿宋" w:eastAsia="仿宋_GB2312" w:cs="仿宋"/>
          <w:sz w:val="24"/>
        </w:rPr>
      </w:pPr>
      <w:r>
        <w:rPr>
          <w:rFonts w:hint="eastAsia" w:ascii="仿宋_GB2312" w:hAnsi="仿宋" w:eastAsia="仿宋_GB2312" w:cs="仿宋"/>
          <w:sz w:val="24"/>
        </w:rPr>
        <w:t xml:space="preserve">供应商全称（公章）:             </w:t>
      </w:r>
    </w:p>
    <w:p w14:paraId="21154EBA">
      <w:pPr>
        <w:wordWrap w:val="0"/>
        <w:spacing w:line="560" w:lineRule="exact"/>
        <w:ind w:firstLine="5520" w:firstLineChars="2300"/>
        <w:jc w:val="right"/>
        <w:rPr>
          <w:rFonts w:ascii="仿宋_GB2312" w:hAnsi="仿宋" w:eastAsia="仿宋_GB2312" w:cs="仿宋"/>
          <w:sz w:val="24"/>
        </w:rPr>
      </w:pPr>
      <w:r>
        <w:rPr>
          <w:rFonts w:hint="eastAsia" w:ascii="仿宋_GB2312" w:hAnsi="仿宋" w:eastAsia="仿宋_GB2312" w:cs="仿宋"/>
          <w:sz w:val="24"/>
        </w:rPr>
        <w:t xml:space="preserve">日期：                    </w:t>
      </w:r>
    </w:p>
    <w:p w14:paraId="4755E6EF"/>
    <w:sectPr>
      <w:headerReference r:id="rId3" w:type="default"/>
      <w:footerReference r:id="rId4" w:type="default"/>
      <w:footerReference r:id="rId5" w:type="even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